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9C24BF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Dec. 2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2212</w:t>
            </w:r>
          </w:p>
        </w:tc>
      </w:tr>
      <w:tr w:rsidR="00782CD4" w:rsidRPr="00E15EF9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nne Davis (Vice-Chair),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Affairs Report</w:t>
            </w:r>
            <w:r w:rsidR="009C24BF">
              <w:rPr>
                <w:rFonts w:ascii="Palatino Linotype" w:hAnsi="Palatino Linotype"/>
                <w:sz w:val="24"/>
                <w:szCs w:val="24"/>
              </w:rPr>
              <w:t xml:space="preserve"> – discuss summer pay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Faculty/staff gathering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9C24BF">
              <w:rPr>
                <w:rFonts w:ascii="Palatino Linotype" w:hAnsi="Palatino Linotype" w:cs="Segoe UI"/>
                <w:sz w:val="24"/>
                <w:szCs w:val="24"/>
              </w:rPr>
              <w:t>bsite – turn info in today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Honorary Degree nomination</w:t>
            </w:r>
            <w:r w:rsidR="009C24BF">
              <w:rPr>
                <w:rFonts w:ascii="Palatino Linotype" w:hAnsi="Palatino Linotype" w:cs="Segoe UI"/>
                <w:sz w:val="24"/>
                <w:szCs w:val="24"/>
              </w:rPr>
              <w:t xml:space="preserve"> update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Expectations List completed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24B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423ED0" w:rsidRDefault="009C24BF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Answer Book Policy #IV-23, Faculty Development, draft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E15EF9" w:rsidRDefault="009C24BF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E15EF9" w:rsidRDefault="009C24BF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How to assess advising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Assessment with strategic plan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SB 330 Letter – Contact Legislators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9C24BF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Dec 16 to plan Faculty Assembly</w:t>
            </w:r>
          </w:p>
        </w:tc>
        <w:tc>
          <w:tcPr>
            <w:tcW w:w="2499" w:type="pct"/>
          </w:tcPr>
          <w:p w:rsidR="0040701F" w:rsidRPr="00E15EF9" w:rsidRDefault="009C24BF" w:rsidP="00DD106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Jan. 6 prior to Assembly to finalize</w:t>
            </w:r>
          </w:p>
        </w:tc>
      </w:tr>
    </w:tbl>
    <w:p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4C03"/>
    <w:rsid w:val="0096550B"/>
    <w:rsid w:val="00974FF8"/>
    <w:rsid w:val="009C18E1"/>
    <w:rsid w:val="009C24BF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0</TotalTime>
  <Pages>1</Pages>
  <Words>190</Words>
  <Characters>1088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2</cp:revision>
  <cp:lastPrinted>2013-09-16T03:30:00Z</cp:lastPrinted>
  <dcterms:created xsi:type="dcterms:W3CDTF">2013-12-02T13:00:00Z</dcterms:created>
  <dcterms:modified xsi:type="dcterms:W3CDTF">2013-12-02T13:00:00Z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