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 w14:paraId="1B86C916" w14:textId="77777777">
        <w:trPr>
          <w:trHeight w:val="360"/>
        </w:trPr>
        <w:tc>
          <w:tcPr>
            <w:tcW w:w="3251" w:type="pct"/>
            <w:gridSpan w:val="2"/>
            <w:vMerge w:val="restart"/>
          </w:tcPr>
          <w:p w14:paraId="20E715D0" w14:textId="77777777"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14:paraId="5C3C9757" w14:textId="77777777" w:rsidR="002F36BE" w:rsidRPr="00E15EF9" w:rsidRDefault="00E620BC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Feb. 3</w:t>
            </w:r>
            <w:r w:rsidR="009E1F3E">
              <w:rPr>
                <w:rFonts w:ascii="Palatino Linotype" w:hAnsi="Palatino Linotype"/>
                <w:sz w:val="24"/>
              </w:rPr>
              <w:t>, 201</w:t>
            </w:r>
            <w:r w:rsidR="0083287C">
              <w:rPr>
                <w:rFonts w:ascii="Palatino Linotype" w:hAnsi="Palatino Linotype"/>
                <w:sz w:val="24"/>
              </w:rPr>
              <w:t>4</w:t>
            </w:r>
            <w:bookmarkStart w:id="0" w:name="_GoBack"/>
            <w:bookmarkEnd w:id="0"/>
          </w:p>
        </w:tc>
      </w:tr>
      <w:tr w:rsidR="002F36BE" w:rsidRPr="00E15EF9" w14:paraId="48E2809F" w14:textId="77777777">
        <w:trPr>
          <w:trHeight w:val="351"/>
        </w:trPr>
        <w:tc>
          <w:tcPr>
            <w:tcW w:w="3251" w:type="pct"/>
            <w:gridSpan w:val="2"/>
            <w:vMerge/>
          </w:tcPr>
          <w:p w14:paraId="1CDD1AB9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14:paraId="6956FADB" w14:textId="77777777"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 w14:paraId="6574D74F" w14:textId="77777777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14:paraId="346D1E2B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14:paraId="592B1942" w14:textId="77777777"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</w:t>
            </w:r>
            <w:r w:rsidR="00E620BC">
              <w:rPr>
                <w:rFonts w:ascii="Palatino Linotype" w:hAnsi="Palatino Linotype"/>
                <w:sz w:val="24"/>
              </w:rPr>
              <w:t>12</w:t>
            </w:r>
          </w:p>
        </w:tc>
      </w:tr>
      <w:tr w:rsidR="00782CD4" w:rsidRPr="00E15EF9" w14:paraId="75A23169" w14:textId="77777777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E74E5D6" w14:textId="77777777"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Maggie Berdine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Rabatin,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 Matthew Santer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Theresa Cowan, Cynthia Watkins, Uta Hempel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, Dave Williams, Missy Spivy</w:t>
            </w:r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 w14:paraId="5DD8FC77" w14:textId="77777777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14:paraId="6A4E6DD9" w14:textId="77777777"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 w14:paraId="1DD28DB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4AE1" w14:textId="77777777"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77EC" w14:textId="77777777"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7EF0" w14:textId="77777777"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123E" w:rsidRPr="00E15EF9" w14:paraId="0A7D1A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4941" w14:textId="77777777" w:rsidR="00E620BC" w:rsidRPr="00E620BC" w:rsidRDefault="00E620BC" w:rsidP="00E620BC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Dr. Rhonda Tracy – Academic Affairs update and response to Senate motions on enrollment caps and dean proposal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01EE" w14:textId="77777777" w:rsidR="0019123E" w:rsidRPr="00E15EF9" w:rsidRDefault="0019123E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CD98" w14:textId="77777777" w:rsidR="0019123E" w:rsidRPr="00E15EF9" w:rsidRDefault="0019123E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6C5C38C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8215" w14:textId="77777777"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64C7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F798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6E7FAB0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9A09" w14:textId="77777777"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1" w:name="MinuteItems"/>
            <w:bookmarkEnd w:id="1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Santer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153A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1043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7C2E473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6A29" w14:textId="77777777"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8455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77C2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 w14:paraId="028BBE9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A902" w14:textId="77777777"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6DE5" w14:textId="77777777"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54E39FB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6205" w14:textId="77777777" w:rsidR="00B643B5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  <w:r w:rsidR="00E620BC">
              <w:rPr>
                <w:rFonts w:ascii="Palatino Linotype" w:hAnsi="Palatino Linotype"/>
                <w:sz w:val="24"/>
                <w:szCs w:val="24"/>
              </w:rPr>
              <w:t>, December, January, Assembly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2D23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87F6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 w14:paraId="0186313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F86B" w14:textId="77777777" w:rsidR="00F608AF" w:rsidRPr="00E15EF9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Faculty/staff gathering</w:t>
            </w:r>
            <w:r w:rsidR="00E620BC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E3C8" w14:textId="77777777"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515E" w14:textId="77777777"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275DF0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731C" w14:textId="77777777"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F10DA0">
              <w:rPr>
                <w:rFonts w:ascii="Palatino Linotype" w:hAnsi="Palatino Linotype" w:cs="Segoe UI"/>
                <w:sz w:val="24"/>
                <w:szCs w:val="24"/>
              </w:rPr>
              <w:t>bsite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C85E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C9A0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14:paraId="11AB076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2404" w14:textId="77777777" w:rsidR="001951B0" w:rsidRDefault="00E620BC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Expectations List progress – Rob Anderson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9ED3" w14:textId="77777777"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B14F" w14:textId="77777777"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04015CC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D7CE" w14:textId="77777777" w:rsidR="00E620BC" w:rsidRPr="001951B0" w:rsidRDefault="00E620BC" w:rsidP="00E620BC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Advising Assessment committee – Cindy Watkins </w:t>
            </w:r>
          </w:p>
          <w:p w14:paraId="2A8BF9AA" w14:textId="77777777" w:rsidR="00F10DA0" w:rsidRPr="001951B0" w:rsidRDefault="00F10DA0" w:rsidP="00F10DA0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C3F3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2F46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3146659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4204" w14:textId="77777777"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79BC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D274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 w14:paraId="50471E1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F7B9" w14:textId="77777777"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5D2E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99FC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14:paraId="115649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D4AF" w14:textId="77777777" w:rsidR="00423ED0" w:rsidRPr="001951B0" w:rsidRDefault="00E620BC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CTT Technician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1B3C" w14:textId="77777777"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A896" w14:textId="77777777"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14:paraId="3468B97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F7B03" w14:textId="77777777" w:rsidR="00423ED0" w:rsidRPr="00F10DA0" w:rsidRDefault="00E620BC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OpenClass committee to work with Jessamine Wass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FA0F" w14:textId="77777777"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CE5D" w14:textId="77777777"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680166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422E" w14:textId="77777777" w:rsidR="00F10DA0" w:rsidRDefault="00E620BC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Salary committee/concerns</w:t>
            </w:r>
          </w:p>
          <w:p w14:paraId="0F17B5C8" w14:textId="77777777" w:rsidR="00E620BC" w:rsidRPr="00F10DA0" w:rsidRDefault="00E620BC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Summer pay proposal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6FAF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3EA1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 w14:paraId="6B11D5D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9429" w14:textId="77777777"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B001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D84C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65A2F9C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9695" w14:textId="77777777"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9C16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B62F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4A2F32B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EC75" w14:textId="77777777"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21F1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E16E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2465D675" w14:textId="77777777">
        <w:tc>
          <w:tcPr>
            <w:tcW w:w="1990" w:type="pct"/>
          </w:tcPr>
          <w:p w14:paraId="0FB99D21" w14:textId="77777777"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2" w:name="MinuteAdditional"/>
            <w:bookmarkEnd w:id="2"/>
          </w:p>
          <w:p w14:paraId="5ECDBE1F" w14:textId="77777777"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14:paraId="1603A1E0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1E1164D" w14:textId="77777777"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0"/>
        <w:gridCol w:w="2436"/>
        <w:gridCol w:w="2436"/>
        <w:gridCol w:w="2434"/>
      </w:tblGrid>
      <w:tr w:rsidR="00F10DA0" w:rsidRPr="00E15EF9" w14:paraId="0CD08117" w14:textId="77777777" w:rsidTr="00F10DA0">
        <w:trPr>
          <w:trHeight w:val="288"/>
        </w:trPr>
        <w:tc>
          <w:tcPr>
            <w:tcW w:w="1185" w:type="pct"/>
          </w:tcPr>
          <w:p w14:paraId="632172F8" w14:textId="77777777" w:rsidR="00F10DA0" w:rsidRPr="00E15EF9" w:rsidRDefault="00E620BC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Feb. 17</w:t>
            </w:r>
          </w:p>
        </w:tc>
        <w:tc>
          <w:tcPr>
            <w:tcW w:w="1272" w:type="pct"/>
          </w:tcPr>
          <w:p w14:paraId="15447C9F" w14:textId="77777777" w:rsidR="00F10DA0" w:rsidRPr="00E15EF9" w:rsidRDefault="00E620BC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March 3</w:t>
            </w:r>
          </w:p>
        </w:tc>
        <w:tc>
          <w:tcPr>
            <w:tcW w:w="1272" w:type="pct"/>
          </w:tcPr>
          <w:p w14:paraId="7F6DA225" w14:textId="77777777" w:rsidR="00F10DA0" w:rsidRDefault="00E620BC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March 17</w:t>
            </w:r>
          </w:p>
        </w:tc>
        <w:tc>
          <w:tcPr>
            <w:tcW w:w="1271" w:type="pct"/>
          </w:tcPr>
          <w:p w14:paraId="2BF26319" w14:textId="77777777" w:rsidR="00F10DA0" w:rsidRDefault="00E620BC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April 7</w:t>
            </w:r>
          </w:p>
        </w:tc>
      </w:tr>
    </w:tbl>
    <w:p w14:paraId="35F4FC04" w14:textId="77777777"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123E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3287C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4C03"/>
    <w:rsid w:val="0096550B"/>
    <w:rsid w:val="00974FF8"/>
    <w:rsid w:val="009C18E1"/>
    <w:rsid w:val="009C24BF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20BC"/>
    <w:rsid w:val="00E657C4"/>
    <w:rsid w:val="00E77B89"/>
    <w:rsid w:val="00E851BF"/>
    <w:rsid w:val="00E963C3"/>
    <w:rsid w:val="00EA4077"/>
    <w:rsid w:val="00F10DA0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E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4CEE-2DBB-D440-B7B2-B5CB1BEC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3</cp:revision>
  <cp:lastPrinted>2013-09-16T03:30:00Z</cp:lastPrinted>
  <dcterms:created xsi:type="dcterms:W3CDTF">2014-01-30T19:50:00Z</dcterms:created>
  <dcterms:modified xsi:type="dcterms:W3CDTF">2014-01-30T19:50:00Z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